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龙岩市重点产业链子基金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管理机构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sz w:val="28"/>
          <w:szCs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资质合规自评表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sz w:val="28"/>
          <w:szCs w:val="24"/>
          <w:highlight w:val="none"/>
        </w:rPr>
      </w:pP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b/>
          <w:sz w:val="28"/>
          <w:szCs w:val="24"/>
          <w:highlight w:val="none"/>
        </w:rPr>
        <w:t>拟申报机构名称：</w:t>
      </w:r>
    </w:p>
    <w:p>
      <w:pPr>
        <w:numPr>
          <w:ilvl w:val="0"/>
          <w:numId w:val="1"/>
        </w:num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sz w:val="32"/>
          <w:szCs w:val="40"/>
          <w:highlight w:val="none"/>
        </w:rPr>
        <w:t>申报机构要求</w:t>
      </w:r>
    </w:p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4375"/>
        <w:gridCol w:w="176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tblHeader/>
          <w:jc w:val="center"/>
        </w:trPr>
        <w:tc>
          <w:tcPr>
            <w:tcW w:w="3036" w:type="pct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4"/>
                <w:highlight w:val="none"/>
              </w:rPr>
              <w:t>项目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  <w:t>是否符合</w:t>
            </w: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2"/>
                <w:szCs w:val="24"/>
                <w:highlight w:val="none"/>
              </w:rPr>
              <w:t>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管理机构基本资质</w:t>
            </w: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1.依法设立的公司或合伙企业，实收资本不低于1000万元人民币，在中国证券投资基金业协会登记为私募股权、创业投资基金管理人。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2.至少有3名具备3年以上资产管理工作经验的高级管理人员。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3.子基金管理机构及其董事、监事、高级管理人员及其他从业人员在最近三年无重大违法违规行为。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4.有符合要求的营业场所、安全防范设施和与基金管理业务有关的其他设施。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5.有良好的内部治理结构和风险控制制度。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6.法律法规规定的其他条件和基金发起人认为应当具备的其他条件。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622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管理机构出资情况</w:t>
            </w: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szCs w:val="21"/>
                <w:highlight w:val="none"/>
              </w:rPr>
              <w:t>子基金管理机构及其关联方出资比例不低于子基金认缴规模的</w:t>
            </w:r>
            <w:r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仿宋_GB2312" w:hAnsi="仿宋_GB2312" w:eastAsia="仿宋_GB2312" w:cs="仿宋_GB2312"/>
                <w:szCs w:val="21"/>
                <w:highlight w:val="none"/>
              </w:rPr>
              <w:t>%。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  <w:jc w:val="center"/>
        </w:trPr>
        <w:tc>
          <w:tcPr>
            <w:tcW w:w="622" w:type="pc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</w:rPr>
              <w:t>管理机构募资能力</w:t>
            </w:r>
          </w:p>
        </w:tc>
        <w:tc>
          <w:tcPr>
            <w:tcW w:w="2414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highlight w:val="none"/>
              </w:rPr>
              <w:t>子基金管理机构应提交募资能力证明材料。在提交子基金申报方案时，需至少已经募集到拟设立子基金首期认缴规模的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0%资金（不含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龙岩市产业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基金出资部分），并提供不少于前述规模的出资</w:t>
            </w: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意向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函或其他出资证明文件（需包含子基金管理机构及其关联方出资不低于</w:t>
            </w:r>
            <w:r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  <w:t>20</w:t>
            </w:r>
            <w:r>
              <w:rPr>
                <w:rFonts w:hint="default" w:ascii="仿宋_GB2312" w:hAnsi="仿宋_GB2312" w:eastAsia="仿宋_GB2312" w:cs="仿宋_GB2312"/>
                <w:highlight w:val="none"/>
              </w:rPr>
              <w:t>%的证明文件）。</w:t>
            </w:r>
          </w:p>
        </w:tc>
        <w:tc>
          <w:tcPr>
            <w:tcW w:w="972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仿宋_GB2312" w:hAnsi="仿宋_GB2312" w:eastAsia="仿宋_GB2312" w:cs="仿宋_GB2312"/>
          <w:b/>
          <w:highlight w:val="none"/>
        </w:rPr>
      </w:pPr>
      <w:r>
        <w:rPr>
          <w:rFonts w:hint="eastAsia" w:ascii="仿宋_GB2312" w:hAnsi="仿宋_GB2312" w:eastAsia="仿宋_GB2312" w:cs="仿宋_GB2312"/>
          <w:b/>
          <w:highlight w:val="none"/>
        </w:rPr>
        <w:t>注：申报机构应开展合规性自评，并在是否符合一栏填写“√”或“х”，需要进一步说明的事项请填写在情况说明栏内。</w:t>
      </w: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40"/>
          <w:highlight w:val="none"/>
        </w:rPr>
      </w:pPr>
      <w:bookmarkStart w:id="0" w:name="OLE_LINK1"/>
      <w:r>
        <w:rPr>
          <w:rFonts w:hint="eastAsia" w:ascii="黑体" w:hAnsi="黑体" w:eastAsia="黑体" w:cs="黑体"/>
          <w:sz w:val="32"/>
          <w:szCs w:val="40"/>
          <w:highlight w:val="none"/>
        </w:rPr>
        <w:t>子基金设立要求</w:t>
      </w:r>
      <w:bookmarkEnd w:id="0"/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tblHeader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sz w:val="22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4"/>
                <w:highlight w:val="none"/>
              </w:rPr>
              <w:t>基金要素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1.子基金认缴规模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2亿元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2.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龙岩市产业基金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对子基金出资不超过子基金认缴规模的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3.子基金注册地应为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4.子基金投资于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龙岩市的资金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不低于龙岩市产业基金出资额的1倍，且不低于龙岩市各级政府全部出资额的1倍。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.子基金接受绩效评价，结果与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eastAsia="zh-CN"/>
              </w:rPr>
              <w:t>龙岩市产业</w:t>
            </w: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  <w:t>基金出资份额对应的管理费（含执行事务合伙人费用等）、后续出资挂钩。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spacing w:line="360" w:lineRule="exact"/>
              <w:rPr>
                <w:rFonts w:hint="default" w:ascii="仿宋_GB2312" w:hAnsi="仿宋_GB2312" w:eastAsia="仿宋_GB2312" w:cs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highlight w:val="none"/>
                <w:lang w:val="en-US" w:eastAsia="zh-CN"/>
              </w:rPr>
              <w:t>6.申报方案及相关条款需符合《福建省省级政府投资基金管理办法》《福建省省级政府投资基金绩效评价办法》要求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40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40"/>
          <w:highlight w:val="none"/>
        </w:rPr>
        <w:t>我公司承诺上述内容真实、准确。我公司将按照上述子基金设立要求设计子基金方案及签署后续协议，子基金具体方案以正式提交的申报材料为准。</w:t>
      </w:r>
    </w:p>
    <w:p>
      <w:pPr>
        <w:spacing w:line="560" w:lineRule="exact"/>
        <w:rPr>
          <w:b/>
          <w:highlight w:val="none"/>
        </w:rPr>
      </w:pPr>
    </w:p>
    <w:p>
      <w:pPr>
        <w:pStyle w:val="4"/>
        <w:rPr>
          <w:highlight w:val="none"/>
        </w:rPr>
      </w:pPr>
    </w:p>
    <w:p>
      <w:pPr>
        <w:spacing w:line="560" w:lineRule="exact"/>
        <w:rPr>
          <w:rFonts w:ascii="仿宋_GB2312" w:eastAsia="仿宋_GB2312"/>
          <w:bCs/>
          <w:sz w:val="32"/>
          <w:szCs w:val="32"/>
          <w:highlight w:val="none"/>
        </w:rPr>
      </w:pPr>
      <w:r>
        <w:rPr>
          <w:rFonts w:hint="eastAsia"/>
          <w:b/>
          <w:highlight w:val="none"/>
        </w:rPr>
        <w:t xml:space="preserve">                                 </w:t>
      </w:r>
      <w:r>
        <w:rPr>
          <w:rFonts w:hint="eastAsia" w:ascii="仿宋_GB2312" w:eastAsia="仿宋_GB2312"/>
          <w:b/>
          <w:sz w:val="32"/>
          <w:szCs w:val="32"/>
          <w:highlight w:val="none"/>
        </w:rPr>
        <w:t xml:space="preserve">       </w:t>
      </w:r>
      <w:r>
        <w:rPr>
          <w:rFonts w:hint="eastAsia" w:ascii="仿宋_GB2312" w:eastAsia="仿宋_GB2312"/>
          <w:bCs/>
          <w:sz w:val="32"/>
          <w:szCs w:val="32"/>
          <w:highlight w:val="none"/>
        </w:rPr>
        <w:t xml:space="preserve"> 申报机构（公章）：</w:t>
      </w:r>
    </w:p>
    <w:p>
      <w:pPr>
        <w:topLinePunct/>
        <w:spacing w:line="600" w:lineRule="exact"/>
        <w:jc w:val="right"/>
        <w:rPr>
          <w:rFonts w:ascii="仿宋_GB2312" w:eastAsia="仿宋_GB2312"/>
          <w:bCs/>
          <w:sz w:val="32"/>
          <w:szCs w:val="32"/>
          <w:highlight w:val="none"/>
        </w:rPr>
      </w:pPr>
      <w:r>
        <w:rPr>
          <w:rFonts w:hint="eastAsia" w:ascii="仿宋_GB2312" w:eastAsia="仿宋_GB2312"/>
          <w:bCs/>
          <w:sz w:val="32"/>
          <w:szCs w:val="32"/>
          <w:highlight w:val="none"/>
        </w:rPr>
        <w:t xml:space="preserve">   日期：    年   月   日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default"/>
          <w:lang w:val="en-US" w:eastAsia="zh-CN"/>
        </w:rPr>
      </w:pPr>
    </w:p>
    <w:p>
      <w:pPr>
        <w:pStyle w:val="12"/>
        <w:keepNext w:val="0"/>
        <w:keepLines w:val="0"/>
        <w:widowControl/>
        <w:suppressLineNumbers w:val="0"/>
        <w:spacing w:beforeAutospacing="0" w:afterAutospacing="0" w:line="600" w:lineRule="exact"/>
        <w:jc w:val="both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</w:pPr>
      <w:bookmarkStart w:id="1" w:name="_GoBack"/>
      <w:bookmarkEnd w:id="1"/>
    </w:p>
    <w:p>
      <w:pPr>
        <w:pStyle w:val="12"/>
        <w:keepNext w:val="0"/>
        <w:keepLines w:val="0"/>
        <w:widowControl/>
        <w:suppressLineNumbers w:val="0"/>
        <w:spacing w:beforeAutospacing="0" w:afterAutospacing="0" w:line="600" w:lineRule="exact"/>
        <w:jc w:val="both"/>
        <w:rPr>
          <w:rFonts w:hint="eastAsia" w:asciiTheme="minorEastAsia" w:hAnsiTheme="minorEastAsia" w:eastAsiaTheme="minorEastAsia" w:cstheme="minorEastAsia"/>
          <w:bCs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29DDBC"/>
    <w:multiLevelType w:val="singleLevel"/>
    <w:tmpl w:val="4B29DD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